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EE4" w:rsidRDefault="00362EE4" w:rsidP="00362EE4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-Bold" w:hAnsi="DINPro-Bold" w:cs="DINPro-Bold"/>
          <w:b/>
          <w:bCs/>
          <w:sz w:val="18"/>
          <w:szCs w:val="18"/>
        </w:rPr>
        <w:t xml:space="preserve">Цель </w:t>
      </w:r>
      <w:r>
        <w:rPr>
          <w:rFonts w:ascii="DINPro" w:hAnsi="DINPro" w:cs="DINPro"/>
          <w:sz w:val="18"/>
          <w:szCs w:val="18"/>
        </w:rPr>
        <w:t xml:space="preserve">— провести сравнительную оценку краткосрочного прогноза развития фатальных и </w:t>
      </w:r>
      <w:proofErr w:type="spellStart"/>
      <w:r>
        <w:rPr>
          <w:rFonts w:ascii="DINPro" w:hAnsi="DINPro" w:cs="DINPro"/>
          <w:sz w:val="18"/>
          <w:szCs w:val="18"/>
        </w:rPr>
        <w:t>нефатальных</w:t>
      </w:r>
      <w:proofErr w:type="spellEnd"/>
      <w:r>
        <w:rPr>
          <w:rFonts w:ascii="DINPro" w:hAnsi="DINPro" w:cs="DINPro"/>
          <w:sz w:val="18"/>
          <w:szCs w:val="18"/>
        </w:rPr>
        <w:t xml:space="preserve"> осложнений при использовании шкал</w:t>
      </w:r>
      <w:r>
        <w:rPr>
          <w:rFonts w:ascii="DINPro" w:hAnsi="DINPro" w:cs="DINPro"/>
          <w:sz w:val="18"/>
          <w:szCs w:val="18"/>
        </w:rPr>
        <w:t xml:space="preserve"> GRACE (</w:t>
      </w:r>
      <w:proofErr w:type="spellStart"/>
      <w:r>
        <w:rPr>
          <w:rFonts w:ascii="DINPro" w:hAnsi="DINPro" w:cs="DINPro"/>
          <w:sz w:val="18"/>
          <w:szCs w:val="18"/>
        </w:rPr>
        <w:t>Global</w:t>
      </w:r>
      <w:proofErr w:type="spellEnd"/>
      <w:r>
        <w:rPr>
          <w:rFonts w:ascii="DINPro" w:hAnsi="DINPro" w:cs="DINPro"/>
          <w:sz w:val="18"/>
          <w:szCs w:val="18"/>
        </w:rPr>
        <w:t xml:space="preserve"> </w:t>
      </w:r>
      <w:proofErr w:type="spellStart"/>
      <w:r>
        <w:rPr>
          <w:rFonts w:ascii="DINPro" w:hAnsi="DINPro" w:cs="DINPro"/>
          <w:sz w:val="18"/>
          <w:szCs w:val="18"/>
        </w:rPr>
        <w:t>Registry</w:t>
      </w:r>
      <w:proofErr w:type="spellEnd"/>
      <w:r>
        <w:rPr>
          <w:rFonts w:ascii="DINPro" w:hAnsi="DINPro" w:cs="DINPro"/>
          <w:sz w:val="18"/>
          <w:szCs w:val="18"/>
        </w:rPr>
        <w:t xml:space="preserve"> </w:t>
      </w:r>
      <w:r w:rsidRPr="00362EE4">
        <w:rPr>
          <w:rFonts w:ascii="DINPro" w:hAnsi="DINPro" w:cs="DINPro"/>
          <w:sz w:val="18"/>
          <w:szCs w:val="18"/>
          <w:lang w:val="en-US"/>
        </w:rPr>
        <w:t>of Acute Cardiac Events risk score), TIMI (Thrombolysis In</w:t>
      </w:r>
      <w:r>
        <w:rPr>
          <w:rFonts w:ascii="DINPro" w:hAnsi="DINPro" w:cs="DINPro"/>
          <w:sz w:val="18"/>
          <w:szCs w:val="18"/>
        </w:rPr>
        <w:t xml:space="preserve"> </w:t>
      </w:r>
      <w:r w:rsidRPr="00362EE4">
        <w:rPr>
          <w:rFonts w:ascii="DINPro" w:hAnsi="DINPro" w:cs="DINPro"/>
          <w:sz w:val="18"/>
          <w:szCs w:val="18"/>
          <w:lang w:val="en-US"/>
        </w:rPr>
        <w:t>Myocardial Infarction), PREDICT (</w:t>
      </w:r>
      <w:proofErr w:type="spellStart"/>
      <w:r w:rsidRPr="00362EE4">
        <w:rPr>
          <w:rFonts w:ascii="DINPro" w:hAnsi="DINPro" w:cs="DINPro"/>
          <w:sz w:val="18"/>
          <w:szCs w:val="18"/>
          <w:lang w:val="en-US"/>
        </w:rPr>
        <w:t>PREdicting</w:t>
      </w:r>
      <w:proofErr w:type="spellEnd"/>
      <w:r w:rsidRPr="00362EE4">
        <w:rPr>
          <w:rFonts w:ascii="DINPro" w:hAnsi="DINPro" w:cs="DINPro"/>
          <w:sz w:val="18"/>
          <w:szCs w:val="18"/>
          <w:lang w:val="en-US"/>
        </w:rPr>
        <w:t xml:space="preserve"> risk of Death</w:t>
      </w:r>
      <w:r>
        <w:rPr>
          <w:rFonts w:ascii="DINPro" w:hAnsi="DINPro" w:cs="DINPro"/>
          <w:sz w:val="18"/>
          <w:szCs w:val="18"/>
        </w:rPr>
        <w:t xml:space="preserve"> </w:t>
      </w:r>
      <w:r w:rsidRPr="00362EE4">
        <w:rPr>
          <w:rFonts w:ascii="DINPro" w:hAnsi="DINPro" w:cs="DINPro"/>
          <w:sz w:val="18"/>
          <w:szCs w:val="18"/>
          <w:lang w:val="en-US"/>
        </w:rPr>
        <w:t>In Cardiac disease Tool), PURSUIT (Platelet Glycoprotein</w:t>
      </w:r>
      <w:r>
        <w:rPr>
          <w:rFonts w:ascii="DINPro" w:hAnsi="DINPro" w:cs="DINPro"/>
          <w:sz w:val="18"/>
          <w:szCs w:val="18"/>
        </w:rPr>
        <w:t xml:space="preserve"> </w:t>
      </w:r>
      <w:proofErr w:type="spellStart"/>
      <w:r w:rsidRPr="00362EE4">
        <w:rPr>
          <w:rFonts w:ascii="DINPro" w:hAnsi="DINPro" w:cs="DINPro"/>
          <w:sz w:val="18"/>
          <w:szCs w:val="18"/>
          <w:lang w:val="en-US"/>
        </w:rPr>
        <w:t>IIb-IIIa</w:t>
      </w:r>
      <w:proofErr w:type="spellEnd"/>
      <w:r w:rsidRPr="00362EE4">
        <w:rPr>
          <w:rFonts w:ascii="DINPro" w:hAnsi="DINPro" w:cs="DINPro"/>
          <w:sz w:val="18"/>
          <w:szCs w:val="18"/>
          <w:lang w:val="en-US"/>
        </w:rPr>
        <w:t xml:space="preserve"> in Unstable Angina: Receptor Suppression Using</w:t>
      </w:r>
      <w:r>
        <w:rPr>
          <w:rFonts w:ascii="DINPro" w:hAnsi="DINPro" w:cs="DINPro"/>
          <w:sz w:val="18"/>
          <w:szCs w:val="18"/>
        </w:rPr>
        <w:t xml:space="preserve"> </w:t>
      </w:r>
      <w:proofErr w:type="spellStart"/>
      <w:r>
        <w:rPr>
          <w:rFonts w:ascii="DINPro" w:hAnsi="DINPro" w:cs="DINPro"/>
          <w:sz w:val="18"/>
          <w:szCs w:val="18"/>
        </w:rPr>
        <w:t>Integrilin</w:t>
      </w:r>
      <w:proofErr w:type="spellEnd"/>
      <w:r>
        <w:rPr>
          <w:rFonts w:ascii="DINPro" w:hAnsi="DINPro" w:cs="DINPro"/>
          <w:sz w:val="18"/>
          <w:szCs w:val="18"/>
        </w:rPr>
        <w:t xml:space="preserve"> </w:t>
      </w:r>
      <w:proofErr w:type="spellStart"/>
      <w:r>
        <w:rPr>
          <w:rFonts w:ascii="DINPro" w:hAnsi="DINPro" w:cs="DINPro"/>
          <w:sz w:val="18"/>
          <w:szCs w:val="18"/>
        </w:rPr>
        <w:t>Therapy</w:t>
      </w:r>
      <w:proofErr w:type="spellEnd"/>
      <w:r>
        <w:rPr>
          <w:rFonts w:ascii="DINPro" w:hAnsi="DINPro" w:cs="DINPro"/>
          <w:sz w:val="18"/>
          <w:szCs w:val="18"/>
        </w:rPr>
        <w:t>) и «РЕКОРД» у больных с острым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коронарным синдромом без подъёма сегмента</w:t>
      </w:r>
      <w:r>
        <w:rPr>
          <w:rFonts w:ascii="DINPro" w:hAnsi="DINPro" w:cs="DINPro"/>
          <w:sz w:val="18"/>
          <w:szCs w:val="18"/>
        </w:rPr>
        <w:t xml:space="preserve"> ST </w:t>
      </w:r>
      <w:r>
        <w:rPr>
          <w:rFonts w:ascii="DINPro" w:hAnsi="DINPro" w:cs="DINPro"/>
          <w:sz w:val="18"/>
          <w:szCs w:val="18"/>
        </w:rPr>
        <w:t>(</w:t>
      </w:r>
      <w:proofErr w:type="spellStart"/>
      <w:r>
        <w:rPr>
          <w:rFonts w:ascii="DINPro" w:hAnsi="DINPro" w:cs="DINPro"/>
          <w:sz w:val="18"/>
          <w:szCs w:val="18"/>
        </w:rPr>
        <w:t>ОКСбпST</w:t>
      </w:r>
      <w:proofErr w:type="spellEnd"/>
      <w:r>
        <w:rPr>
          <w:rFonts w:ascii="DINPro" w:hAnsi="DINPro" w:cs="DINPro"/>
          <w:sz w:val="18"/>
          <w:szCs w:val="18"/>
        </w:rPr>
        <w:t xml:space="preserve">) без проведения </w:t>
      </w:r>
      <w:proofErr w:type="spellStart"/>
      <w:r>
        <w:rPr>
          <w:rFonts w:ascii="DINPro" w:hAnsi="DINPro" w:cs="DINPro"/>
          <w:sz w:val="18"/>
          <w:szCs w:val="18"/>
        </w:rPr>
        <w:t>чрескожного</w:t>
      </w:r>
      <w:proofErr w:type="spellEnd"/>
      <w:r>
        <w:rPr>
          <w:rFonts w:ascii="DINPro" w:hAnsi="DINPro" w:cs="DINPro"/>
          <w:sz w:val="18"/>
          <w:szCs w:val="18"/>
        </w:rPr>
        <w:t xml:space="preserve"> коронарного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вмешательства (ЧКВ).</w:t>
      </w:r>
    </w:p>
    <w:p w:rsidR="00362EE4" w:rsidRDefault="00362EE4" w:rsidP="00362EE4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-Bold" w:hAnsi="DINPro-Bold" w:cs="DINPro-Bold"/>
          <w:b/>
          <w:bCs/>
          <w:sz w:val="18"/>
          <w:szCs w:val="18"/>
        </w:rPr>
        <w:t xml:space="preserve">Материал и методы. </w:t>
      </w:r>
      <w:r>
        <w:rPr>
          <w:rFonts w:ascii="DINPro" w:hAnsi="DINPro" w:cs="DINPro"/>
          <w:sz w:val="18"/>
          <w:szCs w:val="18"/>
        </w:rPr>
        <w:t>Обследовано 122 пациента, поступившие в Государственное бюджетное учреждение</w:t>
      </w:r>
    </w:p>
    <w:p w:rsidR="00362EE4" w:rsidRDefault="00362EE4" w:rsidP="00362EE4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здравоохранения Республики Мордовия «Мордовская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 xml:space="preserve">Республиканская центральная клиническая больница» с направительным диагнозом — </w:t>
      </w:r>
      <w:proofErr w:type="spellStart"/>
      <w:r>
        <w:rPr>
          <w:rFonts w:ascii="DINPro" w:hAnsi="DINPro" w:cs="DINPro"/>
          <w:sz w:val="18"/>
          <w:szCs w:val="18"/>
        </w:rPr>
        <w:t>ОКСбпST</w:t>
      </w:r>
      <w:proofErr w:type="spellEnd"/>
      <w:r>
        <w:rPr>
          <w:rFonts w:ascii="DINPro" w:hAnsi="DINPro" w:cs="DINPro"/>
          <w:sz w:val="18"/>
          <w:szCs w:val="18"/>
        </w:rPr>
        <w:t>.</w:t>
      </w:r>
    </w:p>
    <w:p w:rsidR="00362EE4" w:rsidRDefault="00362EE4" w:rsidP="00362EE4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Особенностью данной выборки является отсутствие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проведения первичного ЧКВ во время нахождения пациента в стационаре. Отсутствие проведения первичного ЧКВ объяснялось у 14 (11,5 %) пациентов отказом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 xml:space="preserve">от проведения </w:t>
      </w:r>
      <w:proofErr w:type="spellStart"/>
      <w:r>
        <w:rPr>
          <w:rFonts w:ascii="DINPro" w:hAnsi="DINPro" w:cs="DINPro"/>
          <w:sz w:val="18"/>
          <w:szCs w:val="18"/>
        </w:rPr>
        <w:t>коронароангиографии</w:t>
      </w:r>
      <w:proofErr w:type="spellEnd"/>
      <w:r>
        <w:rPr>
          <w:rFonts w:ascii="DINPro" w:hAnsi="DINPro" w:cs="DINPro"/>
          <w:sz w:val="18"/>
          <w:szCs w:val="18"/>
        </w:rPr>
        <w:t xml:space="preserve"> (КАГ) (ссылка на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возраст), у 8 (6,5 %) пациентов — непереносимостью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контрастного вещества или обезболивающего лекарственного препарата. Всем остальным 100 пациентам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из данной группы была проведена КАГ, где у</w:t>
      </w:r>
      <w:r>
        <w:rPr>
          <w:rFonts w:ascii="DINPro" w:hAnsi="DINPro" w:cs="DINPro"/>
          <w:sz w:val="18"/>
          <w:szCs w:val="18"/>
        </w:rPr>
        <w:t xml:space="preserve"> 27 (27 %) </w:t>
      </w:r>
      <w:r>
        <w:rPr>
          <w:rFonts w:ascii="DINPro" w:hAnsi="DINPro" w:cs="DINPro"/>
          <w:sz w:val="18"/>
          <w:szCs w:val="18"/>
        </w:rPr>
        <w:t xml:space="preserve">пациентов были выявлены </w:t>
      </w:r>
      <w:proofErr w:type="spellStart"/>
      <w:r>
        <w:rPr>
          <w:rFonts w:ascii="DINPro" w:hAnsi="DINPro" w:cs="DINPro"/>
          <w:sz w:val="18"/>
          <w:szCs w:val="18"/>
        </w:rPr>
        <w:t>интактные</w:t>
      </w:r>
      <w:proofErr w:type="spellEnd"/>
      <w:r>
        <w:rPr>
          <w:rFonts w:ascii="DINPro" w:hAnsi="DINPro" w:cs="DINPro"/>
          <w:sz w:val="18"/>
          <w:szCs w:val="18"/>
        </w:rPr>
        <w:t xml:space="preserve"> коронарные сосуды, у 42 (42 %) пациентов степень выраженности стеноза была менее 50 % и у 31 (31 %) больного (все больные СД 2 типа) выявлен дистальный тип поражения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коронарных сосудов.</w:t>
      </w:r>
    </w:p>
    <w:p w:rsidR="00362EE4" w:rsidRDefault="00362EE4" w:rsidP="00362EE4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-Bold" w:hAnsi="DINPro-Bold" w:cs="DINPro-Bold"/>
          <w:b/>
          <w:bCs/>
          <w:sz w:val="18"/>
          <w:szCs w:val="18"/>
        </w:rPr>
        <w:t xml:space="preserve">Результаты. </w:t>
      </w:r>
      <w:r>
        <w:rPr>
          <w:rFonts w:ascii="DINPro" w:hAnsi="DINPro" w:cs="DINPro"/>
          <w:sz w:val="18"/>
          <w:szCs w:val="18"/>
        </w:rPr>
        <w:t xml:space="preserve">При проведении сравнительной эффективности прогностической значимости развития краткосрочных фатальных и </w:t>
      </w:r>
      <w:proofErr w:type="spellStart"/>
      <w:r>
        <w:rPr>
          <w:rFonts w:ascii="DINPro" w:hAnsi="DINPro" w:cs="DINPro"/>
          <w:sz w:val="18"/>
          <w:szCs w:val="18"/>
        </w:rPr>
        <w:t>нефатальных</w:t>
      </w:r>
      <w:proofErr w:type="spellEnd"/>
      <w:r>
        <w:rPr>
          <w:rFonts w:ascii="DINPro" w:hAnsi="DINPro" w:cs="DINPro"/>
          <w:sz w:val="18"/>
          <w:szCs w:val="18"/>
        </w:rPr>
        <w:t xml:space="preserve"> осложнений</w:t>
      </w:r>
      <w:r>
        <w:rPr>
          <w:rFonts w:ascii="DINPro" w:hAnsi="DINPro" w:cs="DINPro"/>
          <w:sz w:val="18"/>
          <w:szCs w:val="18"/>
        </w:rPr>
        <w:t xml:space="preserve">, </w:t>
      </w:r>
      <w:r>
        <w:rPr>
          <w:rFonts w:ascii="DINPro" w:hAnsi="DINPro" w:cs="DINPro"/>
          <w:sz w:val="18"/>
          <w:szCs w:val="18"/>
        </w:rPr>
        <w:t xml:space="preserve">а также оценки прогноза независимо от вида </w:t>
      </w:r>
      <w:proofErr w:type="spellStart"/>
      <w:r>
        <w:rPr>
          <w:rFonts w:ascii="DINPro" w:hAnsi="DINPro" w:cs="DINPro"/>
          <w:sz w:val="18"/>
          <w:szCs w:val="18"/>
        </w:rPr>
        <w:t>неблаго</w:t>
      </w:r>
      <w:proofErr w:type="spellEnd"/>
      <w:r>
        <w:rPr>
          <w:rFonts w:ascii="DINPro" w:hAnsi="DINPro" w:cs="DINPro"/>
          <w:sz w:val="18"/>
          <w:szCs w:val="18"/>
        </w:rPr>
        <w:t>-</w:t>
      </w:r>
    </w:p>
    <w:p w:rsidR="00362EE4" w:rsidRDefault="00362EE4" w:rsidP="00362EE4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 xml:space="preserve">приятного исхода у больных </w:t>
      </w:r>
      <w:proofErr w:type="spellStart"/>
      <w:r>
        <w:rPr>
          <w:rFonts w:ascii="DINPro" w:hAnsi="DINPro" w:cs="DINPro"/>
          <w:sz w:val="18"/>
          <w:szCs w:val="18"/>
        </w:rPr>
        <w:t>ОКСбпST</w:t>
      </w:r>
      <w:proofErr w:type="spellEnd"/>
      <w:r>
        <w:rPr>
          <w:rFonts w:ascii="DINPro" w:hAnsi="DINPro" w:cs="DINPro"/>
          <w:sz w:val="18"/>
          <w:szCs w:val="18"/>
        </w:rPr>
        <w:t xml:space="preserve"> без проведения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 xml:space="preserve">ЧКВ наиболее высокую чувствительность и </w:t>
      </w:r>
      <w:proofErr w:type="spellStart"/>
      <w:r>
        <w:rPr>
          <w:rFonts w:ascii="DINPro" w:hAnsi="DINPro" w:cs="DINPro"/>
          <w:sz w:val="18"/>
          <w:szCs w:val="18"/>
        </w:rPr>
        <w:t>специфич</w:t>
      </w:r>
      <w:proofErr w:type="spellEnd"/>
      <w:r>
        <w:rPr>
          <w:rFonts w:ascii="DINPro" w:hAnsi="DINPro" w:cs="DINPro"/>
          <w:sz w:val="18"/>
          <w:szCs w:val="18"/>
        </w:rPr>
        <w:t>-</w:t>
      </w:r>
    </w:p>
    <w:p w:rsidR="00362EE4" w:rsidRDefault="00362EE4" w:rsidP="00362EE4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proofErr w:type="spellStart"/>
      <w:r>
        <w:rPr>
          <w:rFonts w:ascii="DINPro" w:hAnsi="DINPro" w:cs="DINPro"/>
          <w:sz w:val="18"/>
          <w:szCs w:val="18"/>
        </w:rPr>
        <w:t>ность</w:t>
      </w:r>
      <w:proofErr w:type="spellEnd"/>
      <w:r>
        <w:rPr>
          <w:rFonts w:ascii="DINPro" w:hAnsi="DINPro" w:cs="DINPro"/>
          <w:sz w:val="18"/>
          <w:szCs w:val="18"/>
        </w:rPr>
        <w:t xml:space="preserve"> показала шкала GRACE относительно использованных в данном исследовании краткосрочных шкал РЕ</w:t>
      </w:r>
    </w:p>
    <w:p w:rsidR="00362EE4" w:rsidRDefault="00362EE4" w:rsidP="00362EE4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КОРД</w:t>
      </w:r>
      <w:r w:rsidRPr="00362EE4">
        <w:rPr>
          <w:rFonts w:ascii="DINPro" w:hAnsi="DINPro" w:cs="DINPro"/>
          <w:sz w:val="18"/>
          <w:szCs w:val="18"/>
          <w:lang w:val="en-US"/>
        </w:rPr>
        <w:t xml:space="preserve">, PREDICT, TIMI </w:t>
      </w:r>
      <w:r>
        <w:rPr>
          <w:rFonts w:ascii="DINPro" w:hAnsi="DINPro" w:cs="DINPro"/>
          <w:sz w:val="18"/>
          <w:szCs w:val="18"/>
        </w:rPr>
        <w:t>и</w:t>
      </w:r>
      <w:r w:rsidRPr="00362EE4">
        <w:rPr>
          <w:rFonts w:ascii="DINPro" w:hAnsi="DINPro" w:cs="DINPro"/>
          <w:sz w:val="18"/>
          <w:szCs w:val="18"/>
          <w:lang w:val="en-US"/>
        </w:rPr>
        <w:t xml:space="preserve"> PURSUIT. </w:t>
      </w:r>
      <w:r>
        <w:rPr>
          <w:rFonts w:ascii="DINPro" w:hAnsi="DINPro" w:cs="DINPro"/>
          <w:sz w:val="18"/>
          <w:szCs w:val="18"/>
        </w:rPr>
        <w:t>Шкалы TIMI и РЕКОРД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показали эффективность краткосрочного прогноза</w:t>
      </w:r>
    </w:p>
    <w:p w:rsidR="00362EE4" w:rsidRDefault="00362EE4" w:rsidP="00362EE4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только для развития фатальных осложнений у данной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категории больных.</w:t>
      </w:r>
    </w:p>
    <w:p w:rsidR="00362EE4" w:rsidRDefault="00362EE4" w:rsidP="00362EE4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-Bold" w:hAnsi="DINPro-Bold" w:cs="DINPro-Bold"/>
          <w:b/>
          <w:bCs/>
          <w:sz w:val="18"/>
          <w:szCs w:val="18"/>
        </w:rPr>
        <w:t xml:space="preserve">Заключение. </w:t>
      </w:r>
      <w:r>
        <w:rPr>
          <w:rFonts w:ascii="DINPro" w:hAnsi="DINPro" w:cs="DINPro"/>
          <w:sz w:val="18"/>
          <w:szCs w:val="18"/>
        </w:rPr>
        <w:t xml:space="preserve">Учитывая полученные результаты данного исследования, у больных </w:t>
      </w:r>
      <w:proofErr w:type="spellStart"/>
      <w:r>
        <w:rPr>
          <w:rFonts w:ascii="DINPro" w:hAnsi="DINPro" w:cs="DINPro"/>
          <w:sz w:val="18"/>
          <w:szCs w:val="18"/>
        </w:rPr>
        <w:t>ОКСбпST</w:t>
      </w:r>
      <w:proofErr w:type="spellEnd"/>
      <w:r>
        <w:rPr>
          <w:rFonts w:ascii="DINPro" w:hAnsi="DINPro" w:cs="DINPro"/>
          <w:sz w:val="18"/>
          <w:szCs w:val="18"/>
        </w:rPr>
        <w:t xml:space="preserve"> без проведения ЧКВ для оценки прогностической значимости развития краткосрочных осложнений независимо от вида</w:t>
      </w:r>
    </w:p>
    <w:p w:rsidR="00362EE4" w:rsidRPr="00362EE4" w:rsidRDefault="00362EE4" w:rsidP="00362EE4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 xml:space="preserve">неблагоприятного исхода рекомендовано </w:t>
      </w:r>
      <w:r>
        <w:rPr>
          <w:rFonts w:ascii="DINPro" w:hAnsi="DINPro" w:cs="DINPro"/>
          <w:sz w:val="18"/>
          <w:szCs w:val="18"/>
        </w:rPr>
        <w:t xml:space="preserve">использовать </w:t>
      </w:r>
      <w:bookmarkStart w:id="0" w:name="_GoBack"/>
      <w:bookmarkEnd w:id="0"/>
      <w:r>
        <w:rPr>
          <w:rFonts w:ascii="DINPro" w:hAnsi="DINPro" w:cs="DINPro"/>
          <w:sz w:val="18"/>
          <w:szCs w:val="18"/>
        </w:rPr>
        <w:t>шкалу GRACE.</w:t>
      </w:r>
    </w:p>
    <w:sectPr w:rsidR="00362EE4" w:rsidRPr="00362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DINPro-Bold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0B7"/>
    <w:rsid w:val="002274CB"/>
    <w:rsid w:val="00362EE4"/>
    <w:rsid w:val="006E6CB2"/>
    <w:rsid w:val="0073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1BD89-24A3-4F02-9CDE-C435C1911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Савчук Елизавета Анатольевна</dc:creator>
  <cp:keywords/>
  <dc:description/>
  <cp:lastModifiedBy>Савчук Елизавета Анатольевна</cp:lastModifiedBy>
  <cp:revision>2</cp:revision>
  <dcterms:created xsi:type="dcterms:W3CDTF">2023-09-12T08:23:00Z</dcterms:created>
  <dcterms:modified xsi:type="dcterms:W3CDTF">2023-09-12T08:23:00Z</dcterms:modified>
</cp:coreProperties>
</file>